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20" w:rsidRDefault="00356DE9" w:rsidP="008E2320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FA1E83">
        <w:rPr>
          <w:sz w:val="28"/>
          <w:szCs w:val="28"/>
        </w:rPr>
        <w:t xml:space="preserve"> </w:t>
      </w:r>
      <w:r w:rsidR="00A06509">
        <w:rPr>
          <w:sz w:val="28"/>
          <w:szCs w:val="28"/>
        </w:rPr>
        <w:t xml:space="preserve">                                      </w:t>
      </w:r>
      <w:r w:rsidR="008E2320">
        <w:rPr>
          <w:sz w:val="28"/>
          <w:szCs w:val="28"/>
        </w:rPr>
        <w:t>ПРОЕКТ</w:t>
      </w:r>
      <w:r w:rsidR="00A06509">
        <w:rPr>
          <w:sz w:val="28"/>
          <w:szCs w:val="28"/>
        </w:rPr>
        <w:t xml:space="preserve">                                            </w:t>
      </w:r>
      <w:r w:rsidR="009C7715">
        <w:rPr>
          <w:sz w:val="28"/>
          <w:szCs w:val="28"/>
        </w:rPr>
        <w:t xml:space="preserve">    </w:t>
      </w:r>
    </w:p>
    <w:p w:rsidR="008E2320" w:rsidRDefault="008E2320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8E2320" w:rsidRDefault="008E2320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8E2320" w:rsidRDefault="008E2320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20A74" w:rsidRDefault="00B30FD8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2320">
        <w:rPr>
          <w:sz w:val="28"/>
          <w:szCs w:val="28"/>
        </w:rPr>
        <w:t xml:space="preserve">                                                                                          </w:t>
      </w:r>
      <w:r w:rsidR="007A09FE">
        <w:rPr>
          <w:sz w:val="28"/>
          <w:szCs w:val="28"/>
        </w:rPr>
        <w:t xml:space="preserve">ПРИЛОЖЕНИЕ </w:t>
      </w: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Еткульского                                 муниципального района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20A74" w:rsidRDefault="001438AF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1438AF">
        <w:rPr>
          <w:rFonts w:ascii="Arial CYR" w:eastAsia="Arial CYR" w:hAnsi="Arial CYR" w:cs="Arial CY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4C58F" wp14:editId="20FBE621">
                <wp:simplePos x="0" y="0"/>
                <wp:positionH relativeFrom="column">
                  <wp:posOffset>4451984</wp:posOffset>
                </wp:positionH>
                <wp:positionV relativeFrom="paragraph">
                  <wp:posOffset>85090</wp:posOffset>
                </wp:positionV>
                <wp:extent cx="1381125" cy="904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AF" w:rsidRPr="001438AF" w:rsidRDefault="001438AF" w:rsidP="001438A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C58F" id="Прямоугольник 8" o:spid="_x0000_s1026" style="position:absolute;left:0;text-align:left;margin-left:350.55pt;margin-top:6.7pt;width:108.75pt;height:7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" fillcolor="white [3201]" strokecolor="black [3213]" strokeweight="2pt">
                <v:textbox>
                  <w:txbxContent>
                    <w:p w:rsidR="001438AF" w:rsidRPr="001438AF" w:rsidRDefault="001438AF" w:rsidP="001438A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5E1BFC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 wp14:anchorId="268B7408" wp14:editId="4EEF1D30">
            <wp:extent cx="719455" cy="787400"/>
            <wp:effectExtent l="19050" t="0" r="444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8AF">
        <w:rPr>
          <w:rFonts w:eastAsia="Times New Roman CYR" w:cs="Times New Roman CYR"/>
        </w:rPr>
        <w:t xml:space="preserve">                   </w:t>
      </w:r>
    </w:p>
    <w:p w:rsidR="002E1A1A" w:rsidRPr="001C4B6E" w:rsidRDefault="005E1BFC" w:rsidP="002E1A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="Times New Roman CYR" w:cs="Times New Roman CYR"/>
        </w:rPr>
        <w:t xml:space="preserve"> </w:t>
      </w:r>
      <w:r w:rsidR="002E1A1A" w:rsidRPr="001C4B6E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proofErr w:type="gramStart"/>
      <w:r w:rsidR="002E1A1A" w:rsidRPr="001C4B6E">
        <w:rPr>
          <w:rFonts w:ascii="Times New Roman" w:hAnsi="Times New Roman"/>
          <w:b/>
          <w:sz w:val="24"/>
          <w:szCs w:val="24"/>
        </w:rPr>
        <w:t>Еткульского</w:t>
      </w:r>
      <w:proofErr w:type="spellEnd"/>
      <w:r w:rsidR="002E1A1A" w:rsidRPr="001C4B6E">
        <w:rPr>
          <w:rFonts w:ascii="Times New Roman" w:hAnsi="Times New Roman"/>
          <w:b/>
          <w:sz w:val="24"/>
          <w:szCs w:val="24"/>
        </w:rPr>
        <w:t xml:space="preserve">  муниципального</w:t>
      </w:r>
      <w:proofErr w:type="gramEnd"/>
      <w:r w:rsidR="002E1A1A" w:rsidRPr="001C4B6E">
        <w:rPr>
          <w:rFonts w:ascii="Times New Roman" w:hAnsi="Times New Roman"/>
          <w:b/>
          <w:sz w:val="24"/>
          <w:szCs w:val="24"/>
        </w:rPr>
        <w:t xml:space="preserve"> района Челябинской области</w:t>
      </w:r>
    </w:p>
    <w:p w:rsidR="002E1A1A" w:rsidRPr="001C4B6E" w:rsidRDefault="002E1A1A" w:rsidP="002E1A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E1A1A" w:rsidRPr="00AB2A5E" w:rsidRDefault="002E1A1A" w:rsidP="002E1A1A">
      <w:pPr>
        <w:pStyle w:val="a9"/>
        <w:jc w:val="center"/>
        <w:rPr>
          <w:rFonts w:ascii="Times New Roman" w:hAnsi="Times New Roman"/>
          <w:b/>
          <w:sz w:val="28"/>
        </w:rPr>
      </w:pPr>
      <w:proofErr w:type="gramStart"/>
      <w:r w:rsidRPr="00AB2A5E">
        <w:rPr>
          <w:rFonts w:ascii="Times New Roman" w:hAnsi="Times New Roman"/>
          <w:b/>
          <w:sz w:val="28"/>
        </w:rPr>
        <w:t>МУНИЦИПАЛЬНОЕ  КАЗ</w:t>
      </w:r>
      <w:r>
        <w:rPr>
          <w:rFonts w:ascii="Times New Roman" w:hAnsi="Times New Roman"/>
          <w:b/>
          <w:sz w:val="28"/>
        </w:rPr>
        <w:t>Ё</w:t>
      </w:r>
      <w:r w:rsidRPr="00AB2A5E">
        <w:rPr>
          <w:rFonts w:ascii="Times New Roman" w:hAnsi="Times New Roman"/>
          <w:b/>
          <w:sz w:val="28"/>
        </w:rPr>
        <w:t>ННОЕ</w:t>
      </w:r>
      <w:proofErr w:type="gramEnd"/>
      <w:r w:rsidRPr="00AB2A5E">
        <w:rPr>
          <w:rFonts w:ascii="Times New Roman" w:hAnsi="Times New Roman"/>
          <w:b/>
          <w:sz w:val="28"/>
        </w:rPr>
        <w:t xml:space="preserve"> УЧРЕЖДЕНИЕ</w:t>
      </w:r>
    </w:p>
    <w:p w:rsidR="002E1A1A" w:rsidRPr="00E179FA" w:rsidRDefault="002E1A1A" w:rsidP="002E1A1A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E179FA">
        <w:rPr>
          <w:rFonts w:ascii="Times New Roman" w:hAnsi="Times New Roman"/>
          <w:b/>
          <w:sz w:val="32"/>
          <w:szCs w:val="32"/>
        </w:rPr>
        <w:t>«Служба жилищно-коммунального хозяйства</w:t>
      </w:r>
    </w:p>
    <w:p w:rsidR="002E1A1A" w:rsidRPr="00E179FA" w:rsidRDefault="002E1A1A" w:rsidP="002E1A1A">
      <w:pPr>
        <w:jc w:val="center"/>
        <w:rPr>
          <w:b/>
          <w:sz w:val="32"/>
          <w:szCs w:val="32"/>
        </w:rPr>
      </w:pPr>
      <w:r w:rsidRPr="00E179FA">
        <w:rPr>
          <w:b/>
          <w:sz w:val="32"/>
          <w:szCs w:val="32"/>
        </w:rPr>
        <w:t xml:space="preserve"> и инженерной инфраструктуры»</w:t>
      </w:r>
    </w:p>
    <w:p w:rsidR="002E1A1A" w:rsidRPr="00E179FA" w:rsidRDefault="002E1A1A" w:rsidP="002E1A1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579182EF" wp14:editId="0458DF46">
                <wp:simplePos x="0" y="0"/>
                <wp:positionH relativeFrom="column">
                  <wp:posOffset>-179070</wp:posOffset>
                </wp:positionH>
                <wp:positionV relativeFrom="paragraph">
                  <wp:posOffset>60960</wp:posOffset>
                </wp:positionV>
                <wp:extent cx="6121400" cy="635"/>
                <wp:effectExtent l="17145" t="20955" r="14605" b="1651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191E" id="Line 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4.8pt" to="467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DtKA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11824" w:rsidRDefault="002E1A1A" w:rsidP="002E1A1A">
      <w:pPr>
        <w:autoSpaceDE w:val="0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9F5B86" w:rsidRPr="009F5B86" w:rsidRDefault="00A212DD" w:rsidP="009F5B86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</w:t>
      </w:r>
      <w:r w:rsidR="009F5B86">
        <w:rPr>
          <w:b/>
          <w:color w:val="000000"/>
          <w:sz w:val="28"/>
          <w:szCs w:val="28"/>
        </w:rPr>
        <w:t>контроля</w:t>
      </w:r>
      <w:r w:rsidR="009F5B86" w:rsidRPr="009F5B86">
        <w:rPr>
          <w:b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  </w:t>
      </w:r>
    </w:p>
    <w:p w:rsidR="00720A74" w:rsidRPr="009F5B86" w:rsidRDefault="00720A7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EC2336">
        <w:rPr>
          <w:sz w:val="28"/>
          <w:szCs w:val="28"/>
        </w:rPr>
        <w:t>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</w:t>
      </w:r>
      <w:r w:rsidR="00EC2336">
        <w:rPr>
          <w:sz w:val="28"/>
          <w:szCs w:val="28"/>
        </w:rPr>
        <w:t>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 в отношении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</w:t>
      </w:r>
      <w:r w:rsidR="00EC2336">
        <w:rPr>
          <w:sz w:val="28"/>
          <w:szCs w:val="28"/>
        </w:rPr>
        <w:t>_____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C2336">
        <w:rPr>
          <w:sz w:val="28"/>
          <w:szCs w:val="28"/>
        </w:rPr>
        <w:t>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</w:t>
      </w:r>
      <w:r w:rsidR="00EC2336">
        <w:rPr>
          <w:sz w:val="28"/>
          <w:szCs w:val="28"/>
        </w:rPr>
        <w:t>__________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администрации Еткульского муниципального района о проведении контрольного (надзорного) мероприятия__________________________________________________</w:t>
      </w:r>
      <w:r w:rsidR="00EC2336">
        <w:rPr>
          <w:sz w:val="28"/>
          <w:szCs w:val="28"/>
        </w:rPr>
        <w:t>_________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Реквизиты нормативного правового акта администрации Еткульского муниципального района об утверждении формы проверочного листа_______________________________________________</w:t>
      </w:r>
      <w:r w:rsidR="00EC2336">
        <w:rPr>
          <w:sz w:val="28"/>
          <w:szCs w:val="28"/>
        </w:rPr>
        <w:t>___________________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</w:t>
      </w:r>
      <w:r w:rsidR="00EC2336">
        <w:rPr>
          <w:sz w:val="28"/>
          <w:szCs w:val="28"/>
        </w:rPr>
        <w:t>________________________________________</w:t>
      </w:r>
    </w:p>
    <w:p w:rsidR="005C425C" w:rsidRPr="00980A95" w:rsidRDefault="00980A95" w:rsidP="00980A9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5C425C">
        <w:rPr>
          <w:sz w:val="28"/>
          <w:szCs w:val="28"/>
        </w:rPr>
        <w:t>Должность, фамилия и инициалы должностного лица администрации Еткульского муниципального района, в должностные обязанности которого в</w:t>
      </w:r>
      <w:r w:rsidR="00FA1E83">
        <w:rPr>
          <w:sz w:val="28"/>
          <w:szCs w:val="28"/>
        </w:rPr>
        <w:t xml:space="preserve"> </w:t>
      </w:r>
      <w:r w:rsidR="005C425C">
        <w:rPr>
          <w:sz w:val="28"/>
          <w:szCs w:val="28"/>
        </w:rPr>
        <w:t>соответствии с поло</w:t>
      </w:r>
      <w:r>
        <w:rPr>
          <w:sz w:val="28"/>
          <w:szCs w:val="28"/>
        </w:rPr>
        <w:t>жением о муниципальном контроле</w:t>
      </w:r>
      <w:r w:rsidR="005C425C">
        <w:rPr>
          <w:sz w:val="28"/>
          <w:szCs w:val="28"/>
        </w:rPr>
        <w:t xml:space="preserve"> </w:t>
      </w:r>
      <w:r w:rsidRPr="00980A95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</w:t>
      </w:r>
      <w:r w:rsidR="000C7251">
        <w:rPr>
          <w:color w:val="000000"/>
          <w:sz w:val="28"/>
          <w:szCs w:val="28"/>
        </w:rPr>
        <w:t>озяйстве </w:t>
      </w:r>
      <w:r w:rsidRPr="00980A95">
        <w:rPr>
          <w:color w:val="000000"/>
          <w:sz w:val="28"/>
          <w:szCs w:val="28"/>
        </w:rPr>
        <w:t>входит</w:t>
      </w:r>
      <w:r>
        <w:rPr>
          <w:color w:val="000000"/>
          <w:sz w:val="28"/>
          <w:szCs w:val="28"/>
        </w:rPr>
        <w:t xml:space="preserve"> </w:t>
      </w:r>
      <w:r w:rsidR="005C425C" w:rsidRPr="00980A95">
        <w:rPr>
          <w:sz w:val="28"/>
          <w:szCs w:val="28"/>
        </w:rPr>
        <w:t xml:space="preserve">осуществление полномочий по муниципальному </w:t>
      </w:r>
      <w:r w:rsidR="000C7251">
        <w:rPr>
          <w:sz w:val="28"/>
          <w:szCs w:val="28"/>
        </w:rPr>
        <w:t xml:space="preserve">контролю </w:t>
      </w:r>
      <w:r w:rsidR="000C7251" w:rsidRPr="00980A95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="005C425C" w:rsidRPr="00980A95">
        <w:rPr>
          <w:sz w:val="28"/>
          <w:szCs w:val="28"/>
        </w:rPr>
        <w:t xml:space="preserve">на территории </w:t>
      </w:r>
      <w:proofErr w:type="spellStart"/>
      <w:r w:rsidR="005C425C" w:rsidRPr="00980A95">
        <w:rPr>
          <w:sz w:val="28"/>
          <w:szCs w:val="28"/>
        </w:rPr>
        <w:t>Еткульского</w:t>
      </w:r>
      <w:proofErr w:type="spellEnd"/>
      <w:r w:rsidR="005C425C" w:rsidRPr="00980A95">
        <w:rPr>
          <w:sz w:val="28"/>
          <w:szCs w:val="28"/>
        </w:rPr>
        <w:t xml:space="preserve"> муниципального района.</w:t>
      </w:r>
    </w:p>
    <w:p w:rsidR="00980A95" w:rsidRDefault="00980A95" w:rsidP="00980A95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C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</w:t>
      </w:r>
      <w:r w:rsidR="00604E73" w:rsidRPr="00980A95">
        <w:rPr>
          <w:sz w:val="28"/>
          <w:szCs w:val="28"/>
        </w:rPr>
        <w:t>контрольных вопросов,</w:t>
      </w:r>
      <w:r>
        <w:rPr>
          <w:sz w:val="28"/>
          <w:szCs w:val="28"/>
        </w:rPr>
        <w:t xml:space="preserve"> отражающих содержание        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604E73" w:rsidRPr="00980A95" w:rsidRDefault="00604E73" w:rsidP="00980A95">
      <w:pPr>
        <w:ind w:left="360"/>
        <w:jc w:val="both"/>
        <w:rPr>
          <w:sz w:val="28"/>
          <w:szCs w:val="28"/>
        </w:rPr>
      </w:pP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10"/>
        <w:gridCol w:w="2226"/>
        <w:gridCol w:w="3731"/>
        <w:gridCol w:w="2220"/>
        <w:gridCol w:w="1384"/>
      </w:tblGrid>
      <w:tr w:rsidR="00980A95" w:rsidTr="00980A95">
        <w:tc>
          <w:tcPr>
            <w:tcW w:w="610" w:type="dxa"/>
          </w:tcPr>
          <w:p w:rsidR="00980A95" w:rsidRDefault="00980A95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26" w:type="dxa"/>
          </w:tcPr>
          <w:p w:rsidR="00980A95" w:rsidRPr="00604E73" w:rsidRDefault="00980A95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3731" w:type="dxa"/>
          </w:tcPr>
          <w:p w:rsidR="00980A95" w:rsidRDefault="00980A95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220" w:type="dxa"/>
          </w:tcPr>
          <w:p w:rsidR="00980A95" w:rsidRDefault="00980A95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(да/нет/неприменимо</w:t>
            </w:r>
          </w:p>
        </w:tc>
        <w:tc>
          <w:tcPr>
            <w:tcW w:w="1384" w:type="dxa"/>
          </w:tcPr>
          <w:p w:rsidR="00980A95" w:rsidRDefault="00980A95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80A95" w:rsidTr="00980A95">
        <w:tc>
          <w:tcPr>
            <w:tcW w:w="610" w:type="dxa"/>
          </w:tcPr>
          <w:p w:rsidR="00980A95" w:rsidRDefault="00980A95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980A95" w:rsidRPr="008F4546" w:rsidRDefault="00980A95" w:rsidP="00EB2189">
            <w:pPr>
              <w:jc w:val="both"/>
              <w:rPr>
                <w:sz w:val="28"/>
                <w:szCs w:val="28"/>
              </w:rPr>
            </w:pPr>
            <w:r w:rsidRPr="008F4546">
              <w:rPr>
                <w:color w:val="000000"/>
                <w:sz w:val="28"/>
                <w:szCs w:val="28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  <w:r w:rsidR="00F06488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731" w:type="dxa"/>
          </w:tcPr>
          <w:p w:rsidR="00980A95" w:rsidRPr="008F4546" w:rsidRDefault="00980A95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20" w:type="dxa"/>
          </w:tcPr>
          <w:p w:rsidR="00980A95" w:rsidRPr="00604E73" w:rsidRDefault="00980A95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980A95" w:rsidRPr="00604E73" w:rsidRDefault="00980A95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980A95" w:rsidTr="00980A95">
        <w:tc>
          <w:tcPr>
            <w:tcW w:w="610" w:type="dxa"/>
          </w:tcPr>
          <w:p w:rsidR="00980A95" w:rsidRDefault="00980A95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980A95" w:rsidRPr="008F4546" w:rsidRDefault="00980A95" w:rsidP="00A212DD">
            <w:pPr>
              <w:jc w:val="both"/>
              <w:rPr>
                <w:sz w:val="28"/>
                <w:szCs w:val="28"/>
              </w:rPr>
            </w:pPr>
            <w:r w:rsidRPr="008F4546">
              <w:rPr>
                <w:color w:val="000000"/>
                <w:sz w:val="28"/>
                <w:szCs w:val="28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3731" w:type="dxa"/>
          </w:tcPr>
          <w:p w:rsidR="00980A95" w:rsidRPr="008F4546" w:rsidRDefault="00980A95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20" w:type="dxa"/>
          </w:tcPr>
          <w:p w:rsidR="00980A95" w:rsidRPr="00604E73" w:rsidRDefault="00980A95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980A95" w:rsidRPr="00604E73" w:rsidRDefault="00980A95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980A95" w:rsidTr="00980A95">
        <w:tc>
          <w:tcPr>
            <w:tcW w:w="610" w:type="dxa"/>
          </w:tcPr>
          <w:p w:rsidR="00980A95" w:rsidRPr="00604E73" w:rsidRDefault="00980A95" w:rsidP="008F454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  <w:vAlign w:val="center"/>
          </w:tcPr>
          <w:p w:rsidR="00980A95" w:rsidRPr="008F4546" w:rsidRDefault="00980A95" w:rsidP="008F4546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8F4546">
              <w:rPr>
                <w:color w:val="444444"/>
                <w:sz w:val="28"/>
                <w:szCs w:val="28"/>
                <w:shd w:val="clear" w:color="auto" w:fill="FFFFFF"/>
              </w:rPr>
              <w:t>Осуществляютс</w:t>
            </w:r>
            <w:r w:rsidRPr="008F4546"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3731" w:type="dxa"/>
          </w:tcPr>
          <w:p w:rsidR="00980A95" w:rsidRPr="008F4546" w:rsidRDefault="00980A95" w:rsidP="008F4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Федеральный закон от </w:t>
            </w:r>
            <w:r>
              <w:rPr>
                <w:sz w:val="28"/>
                <w:szCs w:val="28"/>
              </w:rPr>
              <w:lastRenderedPageBreak/>
              <w:t>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20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</w:tr>
      <w:tr w:rsidR="00980A95" w:rsidTr="00980A95">
        <w:tc>
          <w:tcPr>
            <w:tcW w:w="610" w:type="dxa"/>
          </w:tcPr>
          <w:p w:rsidR="00980A95" w:rsidRPr="00604E73" w:rsidRDefault="00980A95" w:rsidP="008F454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26" w:type="dxa"/>
          </w:tcPr>
          <w:p w:rsidR="00980A95" w:rsidRPr="008F4546" w:rsidRDefault="00980A95" w:rsidP="008F4546">
            <w:pPr>
              <w:jc w:val="both"/>
              <w:rPr>
                <w:sz w:val="28"/>
                <w:szCs w:val="28"/>
              </w:rPr>
            </w:pPr>
            <w:r w:rsidRPr="008F4546">
              <w:rPr>
                <w:color w:val="444444"/>
                <w:sz w:val="28"/>
                <w:szCs w:val="28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  <w:tc>
          <w:tcPr>
            <w:tcW w:w="3731" w:type="dxa"/>
          </w:tcPr>
          <w:p w:rsidR="00980A95" w:rsidRPr="008F4546" w:rsidRDefault="00980A95" w:rsidP="008F4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20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</w:tr>
      <w:tr w:rsidR="00980A95" w:rsidTr="00980A95">
        <w:tc>
          <w:tcPr>
            <w:tcW w:w="610" w:type="dxa"/>
          </w:tcPr>
          <w:p w:rsidR="00980A95" w:rsidRPr="00604E73" w:rsidRDefault="00980A95" w:rsidP="008F454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980A95" w:rsidRPr="00604E73" w:rsidRDefault="00980A95" w:rsidP="008F4546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sectPr w:rsidR="00A212DD" w:rsidSect="00A06509">
      <w:headerReference w:type="default" r:id="rId9"/>
      <w:headerReference w:type="first" r:id="rId10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1B" w:rsidRDefault="00D0031B" w:rsidP="00B7608D">
      <w:r>
        <w:separator/>
      </w:r>
    </w:p>
  </w:endnote>
  <w:endnote w:type="continuationSeparator" w:id="0">
    <w:p w:rsidR="00D0031B" w:rsidRDefault="00D0031B" w:rsidP="00B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1B" w:rsidRDefault="00D0031B" w:rsidP="00B7608D">
      <w:r>
        <w:separator/>
      </w:r>
    </w:p>
  </w:footnote>
  <w:footnote w:type="continuationSeparator" w:id="0">
    <w:p w:rsidR="00D0031B" w:rsidRDefault="00D0031B" w:rsidP="00B7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11" w:rsidRPr="00601FE7" w:rsidRDefault="00B46411" w:rsidP="00B46411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 w15:restartNumberingAfterBreak="0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3"/>
    <w:rsid w:val="000122DE"/>
    <w:rsid w:val="0001713F"/>
    <w:rsid w:val="00022BEA"/>
    <w:rsid w:val="0002705C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C7251"/>
    <w:rsid w:val="000C73CC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67AFF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7CED"/>
    <w:rsid w:val="002C587A"/>
    <w:rsid w:val="002C7BEA"/>
    <w:rsid w:val="002D1E0A"/>
    <w:rsid w:val="002D22EE"/>
    <w:rsid w:val="002E0109"/>
    <w:rsid w:val="002E04E2"/>
    <w:rsid w:val="002E1A1A"/>
    <w:rsid w:val="002E418F"/>
    <w:rsid w:val="00300A7D"/>
    <w:rsid w:val="003063C4"/>
    <w:rsid w:val="00314648"/>
    <w:rsid w:val="0032358C"/>
    <w:rsid w:val="00327BF4"/>
    <w:rsid w:val="00347326"/>
    <w:rsid w:val="00356DE9"/>
    <w:rsid w:val="0035784F"/>
    <w:rsid w:val="0037178D"/>
    <w:rsid w:val="00380815"/>
    <w:rsid w:val="00383209"/>
    <w:rsid w:val="00391ED0"/>
    <w:rsid w:val="003A03B3"/>
    <w:rsid w:val="003A62D4"/>
    <w:rsid w:val="003B02F0"/>
    <w:rsid w:val="003B746E"/>
    <w:rsid w:val="003C3571"/>
    <w:rsid w:val="003C5BE7"/>
    <w:rsid w:val="003D1C13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191C"/>
    <w:rsid w:val="0043453F"/>
    <w:rsid w:val="00437EF0"/>
    <w:rsid w:val="004439AA"/>
    <w:rsid w:val="00444553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21E4C"/>
    <w:rsid w:val="00522097"/>
    <w:rsid w:val="00522EAB"/>
    <w:rsid w:val="00526ED2"/>
    <w:rsid w:val="00545661"/>
    <w:rsid w:val="0054659D"/>
    <w:rsid w:val="00554B6E"/>
    <w:rsid w:val="00556B62"/>
    <w:rsid w:val="00584DAC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25085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22C"/>
    <w:rsid w:val="007237EE"/>
    <w:rsid w:val="00743182"/>
    <w:rsid w:val="007524DD"/>
    <w:rsid w:val="00766516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51F9"/>
    <w:rsid w:val="008A6E2E"/>
    <w:rsid w:val="008A6F7D"/>
    <w:rsid w:val="008B330D"/>
    <w:rsid w:val="008B3CEE"/>
    <w:rsid w:val="008B5E7A"/>
    <w:rsid w:val="008C116C"/>
    <w:rsid w:val="008E2320"/>
    <w:rsid w:val="008E3318"/>
    <w:rsid w:val="008E69C7"/>
    <w:rsid w:val="008F4546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5F9"/>
    <w:rsid w:val="009729B4"/>
    <w:rsid w:val="0097382A"/>
    <w:rsid w:val="009764DF"/>
    <w:rsid w:val="00976AD2"/>
    <w:rsid w:val="00980A95"/>
    <w:rsid w:val="009835DD"/>
    <w:rsid w:val="00992A2E"/>
    <w:rsid w:val="009965B4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5B86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30FD8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233B"/>
    <w:rsid w:val="00BE6FA5"/>
    <w:rsid w:val="00C1360E"/>
    <w:rsid w:val="00C15772"/>
    <w:rsid w:val="00C42333"/>
    <w:rsid w:val="00C50EB6"/>
    <w:rsid w:val="00C53519"/>
    <w:rsid w:val="00C61668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D0E61"/>
    <w:rsid w:val="00CF2949"/>
    <w:rsid w:val="00CF2D0A"/>
    <w:rsid w:val="00D0031B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55EE3"/>
    <w:rsid w:val="00D645B8"/>
    <w:rsid w:val="00D66148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A1315"/>
    <w:rsid w:val="00EB0213"/>
    <w:rsid w:val="00EB2189"/>
    <w:rsid w:val="00EC2336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06488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78FE"/>
    <w:rsid w:val="00FA1E83"/>
    <w:rsid w:val="00FB04F5"/>
    <w:rsid w:val="00FB35AC"/>
    <w:rsid w:val="00FB7AF4"/>
    <w:rsid w:val="00FC6A88"/>
    <w:rsid w:val="00FD7EEA"/>
    <w:rsid w:val="00FF70C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C7E1"/>
  <w15:docId w15:val="{0E58CBB8-51DC-45C1-AA8E-F9B2F6A2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uiPriority w:val="1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8B3C-36E2-45BD-ACA8-5DFB5F72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42</cp:revision>
  <cp:lastPrinted>2022-02-08T08:23:00Z</cp:lastPrinted>
  <dcterms:created xsi:type="dcterms:W3CDTF">2017-01-09T03:07:00Z</dcterms:created>
  <dcterms:modified xsi:type="dcterms:W3CDTF">2022-02-08T09:23:00Z</dcterms:modified>
</cp:coreProperties>
</file>